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FB" w:rsidRPr="003B51FB" w:rsidRDefault="003B51FB" w:rsidP="003B51FB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aps/>
          <w:kern w:val="36"/>
          <w:sz w:val="45"/>
          <w:szCs w:val="45"/>
          <w:lang w:eastAsia="ru-RU"/>
        </w:rPr>
      </w:pPr>
      <w:r w:rsidRPr="003B51FB">
        <w:rPr>
          <w:rFonts w:ascii="inherit" w:eastAsia="Times New Roman" w:hAnsi="inherit" w:cs="Times New Roman"/>
          <w:b/>
          <w:bCs/>
          <w:caps/>
          <w:kern w:val="36"/>
          <w:sz w:val="45"/>
          <w:szCs w:val="45"/>
          <w:lang w:eastAsia="ru-RU"/>
        </w:rPr>
        <w:t>О СРОКАХ, МЕСТАХ РЕГИСТРАЦИИ ДЛЯ УЧАСТИЯ В НАПИСАНИИ ИТОГОВОГО СОЧИНЕНИЯ (ИЗЛОЖЕНИЯ)</w:t>
      </w:r>
    </w:p>
    <w:p w:rsidR="003B51FB" w:rsidRPr="003B51FB" w:rsidRDefault="003B51FB" w:rsidP="003B51FB">
      <w:pPr>
        <w:shd w:val="clear" w:color="auto" w:fill="F5F5F5"/>
        <w:spacing w:before="120" w:after="0" w:line="240" w:lineRule="auto"/>
        <w:rPr>
          <w:rFonts w:ascii="Times New Roman" w:eastAsia="Times New Roman" w:hAnsi="Times New Roman" w:cs="Times New Roman"/>
          <w:color w:val="95999E"/>
          <w:sz w:val="20"/>
          <w:szCs w:val="20"/>
          <w:lang w:eastAsia="ru-RU"/>
        </w:rPr>
      </w:pPr>
      <w:r w:rsidRPr="003B51FB">
        <w:rPr>
          <w:rFonts w:ascii="Times New Roman" w:eastAsia="Times New Roman" w:hAnsi="Times New Roman" w:cs="Times New Roman"/>
          <w:color w:val="95999E"/>
          <w:sz w:val="20"/>
          <w:szCs w:val="20"/>
          <w:lang w:eastAsia="ru-RU"/>
        </w:rPr>
        <w:t>  /  О сроках, местах регистрации для участия в написании итогового сочинения (изложения)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сочинение (изложение) 2017-2018 учебный год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является </w:t>
      </w:r>
      <w:r w:rsidRPr="003B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допуском выпускников к государственной итоговой аттестации</w:t>
      </w: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обучающиеся с ограниченными возможностями здоровья вправе выбрать написание изложения. Результатом итогового сочинения является «зачет» или «незачет». Если выпускник получил за итоговое сочинение неудовлетворительный результат, ему предоставляется возможность его пересдать.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проводится в образовательных организациях, в которых обучающиеся осваивают образовательные программы среднего общего образования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институтом педагогических измерений представлены тематические направления для написания итогового сочинения в 2017-2018 учебном году:</w:t>
      </w:r>
    </w:p>
    <w:p w:rsidR="003B51FB" w:rsidRPr="003B51FB" w:rsidRDefault="003B51FB" w:rsidP="003B51F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«Верность и измена»,</w:t>
      </w:r>
    </w:p>
    <w:p w:rsidR="003B51FB" w:rsidRPr="003B51FB" w:rsidRDefault="003B51FB" w:rsidP="003B51F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«Равнодушие и отзывчивость»,</w:t>
      </w:r>
    </w:p>
    <w:p w:rsidR="003B51FB" w:rsidRPr="003B51FB" w:rsidRDefault="003B51FB" w:rsidP="003B51F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«Цели и средства»,</w:t>
      </w:r>
    </w:p>
    <w:p w:rsidR="003B51FB" w:rsidRPr="003B51FB" w:rsidRDefault="003B51FB" w:rsidP="003B51F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«Смелость и трусость»,</w:t>
      </w:r>
    </w:p>
    <w:p w:rsidR="003B51FB" w:rsidRPr="003B51FB" w:rsidRDefault="003B51FB" w:rsidP="003B51F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 и общество».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оценивается по пяти критериям: соответствие теме; аргументация, привлечение литературного материала; композиция; качество речи; грамотность. Проверяют сочинения (изложения) Комиссии образовательных организаций или экспертные комиссии, созданные на муниципальном/региональном уровне.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написания итогового сочинения в 2017-18 учебном году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срок - </w:t>
      </w:r>
      <w:r w:rsidRPr="003B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декабря 2017 года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сроки - 7 февраля и 16 мая 2018 года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регистрации заявлений для участия в итоговом сочинени</w:t>
      </w:r>
      <w:proofErr w:type="gramStart"/>
      <w:r w:rsidRPr="003B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и(</w:t>
      </w:r>
      <w:proofErr w:type="gramEnd"/>
      <w:r w:rsidRPr="003B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изложении) 6 декабря 2017 года</w:t>
      </w:r>
    </w:p>
    <w:tbl>
      <w:tblPr>
        <w:tblW w:w="16650" w:type="dxa"/>
        <w:tblBorders>
          <w:top w:val="single" w:sz="6" w:space="0" w:color="ECEDF1"/>
          <w:left w:val="single" w:sz="6" w:space="0" w:color="ECEDF1"/>
          <w:bottom w:val="single" w:sz="6" w:space="0" w:color="ECEDF1"/>
          <w:right w:val="single" w:sz="6" w:space="0" w:color="ECEDF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5"/>
        <w:gridCol w:w="3024"/>
        <w:gridCol w:w="2237"/>
        <w:gridCol w:w="2176"/>
        <w:gridCol w:w="2197"/>
        <w:gridCol w:w="2661"/>
      </w:tblGrid>
      <w:tr w:rsidR="003B51FB" w:rsidRPr="003B51FB" w:rsidTr="003B51FB"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Наименование места регистрации заявлений для участия в итоговом сочинении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организации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Координатор (Ф.И.О.)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 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e-mail</w:t>
            </w:r>
            <w:proofErr w:type="spellEnd"/>
          </w:p>
        </w:tc>
      </w:tr>
      <w:tr w:rsidR="003B51FB" w:rsidRPr="003B51FB" w:rsidTr="003B51FB"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тельное учреждение МБОУ </w:t>
            </w:r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Махкетинская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366344,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ахкеты</w:t>
            </w:r>
            <w:proofErr w:type="spellEnd"/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Г.А.Расуева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</w:t>
            </w:r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476 24 96</w:t>
            </w:r>
          </w:p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mahkety</w:t>
            </w:r>
            <w:proofErr w:type="spellEnd"/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mail.ru</w:t>
            </w:r>
            <w:proofErr w:type="spellStart"/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t.ru</w:t>
            </w:r>
            <w:proofErr w:type="spellEnd"/>
          </w:p>
        </w:tc>
      </w:tr>
    </w:tbl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подачи заявлений для участия в написании итогового сочинения (изложения)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начала проведения итогового сочинения участники подают заявления</w:t>
      </w:r>
    </w:p>
    <w:tbl>
      <w:tblPr>
        <w:tblW w:w="16650" w:type="dxa"/>
        <w:tblInd w:w="-1033" w:type="dxa"/>
        <w:tblBorders>
          <w:top w:val="single" w:sz="6" w:space="0" w:color="ECEDF1"/>
          <w:left w:val="single" w:sz="6" w:space="0" w:color="ECEDF1"/>
          <w:bottom w:val="single" w:sz="6" w:space="0" w:color="ECEDF1"/>
          <w:right w:val="single" w:sz="6" w:space="0" w:color="ECEDF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4070"/>
        <w:gridCol w:w="3980"/>
        <w:gridCol w:w="2115"/>
        <w:gridCol w:w="1593"/>
        <w:gridCol w:w="2401"/>
      </w:tblGrid>
      <w:tr w:rsidR="003B51FB" w:rsidRPr="003B51FB" w:rsidTr="003B51FB"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Срок подачи заявления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Дата написания итогового сочинения (изложения)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за регистрацию заявлений 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Должность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 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e-mail</w:t>
            </w:r>
            <w:proofErr w:type="spellEnd"/>
          </w:p>
        </w:tc>
      </w:tr>
      <w:tr w:rsidR="003B51FB" w:rsidRPr="003B51FB" w:rsidTr="003B51FB"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22 ноября 2017 года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декабря</w:t>
            </w:r>
          </w:p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 года​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</w:t>
            </w:r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476 24 96</w:t>
            </w:r>
          </w:p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mahkety</w:t>
            </w:r>
            <w:proofErr w:type="spellEnd"/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mail.ru</w:t>
            </w:r>
            <w:proofErr w:type="spellStart"/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t</w:t>
            </w:r>
            <w:proofErr w:type="spellEnd"/>
          </w:p>
        </w:tc>
      </w:tr>
    </w:tbl>
    <w:p w:rsidR="009214C7" w:rsidRDefault="009214C7" w:rsidP="003B51FB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C7" w:rsidRDefault="009214C7" w:rsidP="003B51FB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C7" w:rsidRDefault="009214C7" w:rsidP="003B51FB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4C7" w:rsidRDefault="009214C7" w:rsidP="003B51FB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 сроках, порядке информирования о результатах итогового сочинения (изложения)</w:t>
      </w:r>
    </w:p>
    <w:tbl>
      <w:tblPr>
        <w:tblW w:w="16650" w:type="dxa"/>
        <w:tblInd w:w="-1033" w:type="dxa"/>
        <w:tblBorders>
          <w:top w:val="single" w:sz="6" w:space="0" w:color="ECEDF1"/>
          <w:left w:val="single" w:sz="6" w:space="0" w:color="ECEDF1"/>
          <w:bottom w:val="single" w:sz="6" w:space="0" w:color="ECEDF1"/>
          <w:right w:val="single" w:sz="6" w:space="0" w:color="ECEDF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8"/>
        <w:gridCol w:w="3354"/>
        <w:gridCol w:w="1593"/>
        <w:gridCol w:w="3565"/>
      </w:tblGrid>
      <w:tr w:rsidR="003B51FB" w:rsidRPr="003B51FB" w:rsidTr="009214C7"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информирование о результатах итогового сочинения (изложения)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Должность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 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информирования</w:t>
            </w:r>
          </w:p>
        </w:tc>
      </w:tr>
      <w:tr w:rsidR="003B51FB" w:rsidRPr="003B51FB" w:rsidTr="009214C7"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</w:t>
            </w:r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476 24 96</w:t>
            </w:r>
          </w:p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9214C7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366344,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3B51FB" w:rsidRPr="003B51FB" w:rsidRDefault="003B51FB" w:rsidP="003B51F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ахкеты</w:t>
            </w:r>
            <w:proofErr w:type="spellEnd"/>
            <w:r w:rsidRPr="003B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Г.А.Расуева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</w:tbl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 сочинение вправе писать:</w:t>
      </w:r>
    </w:p>
    <w:p w:rsidR="003B51FB" w:rsidRPr="003B51FB" w:rsidRDefault="003B51FB" w:rsidP="003B51F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11(12) -</w:t>
      </w:r>
      <w:proofErr w:type="spellStart"/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3B51FB" w:rsidRPr="003B51FB" w:rsidRDefault="003B51FB" w:rsidP="003B51F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прошлых лет (по желанию, чтобы представить результаты сочинения в вузы) – лица, получившие документ о среднем общем образовании (или среднем (полном) общем образовании до 1 сентября 2013 года) в предыдущие годы;</w:t>
      </w:r>
    </w:p>
    <w:p w:rsidR="003B51FB" w:rsidRPr="003B51FB" w:rsidRDefault="003B51FB" w:rsidP="003B51F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получившие среднее общее образование в иностранных образовательных организациях;</w:t>
      </w:r>
    </w:p>
    <w:p w:rsidR="003B51FB" w:rsidRPr="003B51FB" w:rsidRDefault="003B51FB" w:rsidP="003B51F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 образовательным программам среднего профессионального образования (СПО);</w:t>
      </w:r>
    </w:p>
    <w:p w:rsidR="003B51FB" w:rsidRPr="003B51FB" w:rsidRDefault="003B51FB" w:rsidP="003B51F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получающие среднее общее образование в иностранных образовательных организациях;</w:t>
      </w:r>
    </w:p>
    <w:p w:rsidR="003B51FB" w:rsidRPr="003B51FB" w:rsidRDefault="003B51FB" w:rsidP="003B51F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ограниченными возможностями здоровья (обучающиеся с ОВЗ) или дети-инвалиды и инвалиды;</w:t>
      </w:r>
    </w:p>
    <w:p w:rsidR="003B51FB" w:rsidRPr="003B51FB" w:rsidRDefault="003B51FB" w:rsidP="003B51F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3B51FB" w:rsidRPr="003B51FB" w:rsidRDefault="003B51FB" w:rsidP="003B51F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​обучающиеся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 лечении на основании заключения медицинской организации.</w:t>
      </w:r>
      <w:proofErr w:type="gramEnd"/>
    </w:p>
    <w:p w:rsidR="003B51FB" w:rsidRPr="003B51FB" w:rsidRDefault="003B51FB" w:rsidP="003B51F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11(12) -</w:t>
      </w:r>
      <w:proofErr w:type="spellStart"/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(или родители, законные представители) - в организации, осуществляющие образовательную деятельность, в которых они обучались;</w:t>
      </w:r>
    </w:p>
    <w:p w:rsidR="003B51FB" w:rsidRPr="003B51FB" w:rsidRDefault="003B51FB" w:rsidP="003B51F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получившие по итоговому сочинению (изложению) неудовлетворительный результат («незачет»);</w:t>
      </w:r>
    </w:p>
    <w:p w:rsidR="003B51FB" w:rsidRPr="003B51FB" w:rsidRDefault="003B51FB" w:rsidP="003B51F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3B51FB" w:rsidRPr="003B51FB" w:rsidRDefault="003B51FB" w:rsidP="003B51FB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написания – 3 часа 55 минут.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изложение вправе писать следующие категории лиц: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-обучающиеся с ограниченными возможностями здоровья или дети-инвалиды и инвалиды;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по желанию могут писать и выпускники прошлых лет для представления его результатов при поступлении в вузы.</w:t>
      </w:r>
    </w:p>
    <w:p w:rsidR="003B51FB" w:rsidRPr="003B51FB" w:rsidRDefault="003B51FB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ОВЗ, детей-инвалидов и инвалидов продолжительность итогового сочинения (изложения) увеличивается на 1,5 часа.</w:t>
      </w:r>
    </w:p>
    <w:p w:rsidR="003B51FB" w:rsidRDefault="003B51FB" w:rsidP="003B51FB">
      <w:pPr>
        <w:spacing w:before="150" w:after="150" w:line="240" w:lineRule="auto"/>
      </w:pPr>
      <w:r w:rsidRPr="003B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Вся информация об итоговом сочинении размещена на сайтах: </w:t>
      </w:r>
      <w:hyperlink r:id="rId5" w:tgtFrame="_blank" w:history="1">
        <w:r w:rsidRPr="003B51FB">
          <w:rPr>
            <w:rFonts w:ascii="Times New Roman" w:eastAsia="Times New Roman" w:hAnsi="Times New Roman" w:cs="Times New Roman"/>
            <w:b/>
            <w:bCs/>
            <w:color w:val="31548B"/>
            <w:sz w:val="24"/>
            <w:szCs w:val="24"/>
            <w:lang w:eastAsia="ru-RU"/>
          </w:rPr>
          <w:t>sochinenie11.ru</w:t>
        </w:r>
      </w:hyperlink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3B51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http://fipi.ru/ege-i-gve-11/itogovoe-sochinenie,</w:t>
      </w:r>
      <w:r w:rsidRPr="003B51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3B51FB">
          <w:rPr>
            <w:rFonts w:ascii="Times New Roman" w:eastAsia="Times New Roman" w:hAnsi="Times New Roman" w:cs="Times New Roman"/>
            <w:b/>
            <w:bCs/>
            <w:color w:val="31548B"/>
            <w:sz w:val="24"/>
            <w:szCs w:val="24"/>
            <w:lang w:eastAsia="ru-RU"/>
          </w:rPr>
          <w:t>http://www.ege.edu.ru/ru/classes-11/sochinenie/</w:t>
        </w:r>
      </w:hyperlink>
    </w:p>
    <w:p w:rsidR="00262D27" w:rsidRPr="00B11348" w:rsidRDefault="00262D27" w:rsidP="00262D27">
      <w:pPr>
        <w:pStyle w:val="a4"/>
        <w:shd w:val="clear" w:color="auto" w:fill="F8F8F8"/>
        <w:spacing w:before="0" w:beforeAutospacing="0" w:after="120" w:afterAutospacing="0"/>
        <w:jc w:val="center"/>
        <w:rPr>
          <w:rFonts w:ascii="Trebuchet MS" w:hAnsi="Trebuchet MS"/>
          <w:color w:val="333333"/>
          <w:sz w:val="21"/>
          <w:szCs w:val="21"/>
        </w:rPr>
      </w:pPr>
      <w:r w:rsidRPr="00B11348">
        <w:rPr>
          <w:b/>
          <w:bCs/>
          <w:color w:val="000080"/>
        </w:rPr>
        <w:t>Информация о сроках, местах и порядке информирования о результатах итогового</w:t>
      </w:r>
    </w:p>
    <w:p w:rsidR="00262D27" w:rsidRPr="00B11348" w:rsidRDefault="00262D27" w:rsidP="00262D27">
      <w:pPr>
        <w:shd w:val="clear" w:color="auto" w:fill="F8F8F8"/>
        <w:spacing w:after="120" w:line="240" w:lineRule="auto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B1134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сочинения (изложения)</w:t>
      </w:r>
    </w:p>
    <w:p w:rsidR="00262D27" w:rsidRPr="00B11348" w:rsidRDefault="00262D27" w:rsidP="00262D27">
      <w:pPr>
        <w:shd w:val="clear" w:color="auto" w:fill="F8F8F8"/>
        <w:spacing w:after="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B11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Ознакомление с результатами итогового сочинения (изложения) происходит по месту подачи заявления на написание итогового сочинения (изложения).</w:t>
      </w:r>
    </w:p>
    <w:p w:rsidR="00262D27" w:rsidRPr="00B11348" w:rsidRDefault="00262D27" w:rsidP="00262D27">
      <w:pPr>
        <w:shd w:val="clear" w:color="auto" w:fill="F8F8F8"/>
        <w:spacing w:after="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B11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Обучающиеся могут ознакомиться с результатами итогового сочинения (изложения) в своей общеобразовательной организации, выпускники прошлых лет, обучающиеся образовательных организаций среднего профессионального образования – в муниципальных органах управления образованием.</w:t>
      </w:r>
    </w:p>
    <w:p w:rsidR="00262D27" w:rsidRPr="00B11348" w:rsidRDefault="00262D27" w:rsidP="00262D27">
      <w:pPr>
        <w:shd w:val="clear" w:color="auto" w:fill="F8F8F8"/>
        <w:spacing w:after="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B11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Результаты итогового сочинения (изложения) будут известны не ранее, чем через семь</w:t>
      </w:r>
    </w:p>
    <w:p w:rsidR="00262D27" w:rsidRPr="00B11348" w:rsidRDefault="00262D27" w:rsidP="00262D27">
      <w:pPr>
        <w:shd w:val="clear" w:color="auto" w:fill="F8F8F8"/>
        <w:spacing w:after="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B11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календарных дней </w:t>
      </w:r>
      <w:proofErr w:type="gramStart"/>
      <w:r w:rsidRPr="00B11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проведения</w:t>
      </w:r>
      <w:proofErr w:type="gramEnd"/>
      <w:r w:rsidRPr="00B113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итогового сочинения</w:t>
      </w:r>
    </w:p>
    <w:p w:rsidR="00262D27" w:rsidRPr="00B11348" w:rsidRDefault="00262D27" w:rsidP="00262D27">
      <w:pPr>
        <w:shd w:val="clear" w:color="auto" w:fill="F8F8F8"/>
        <w:spacing w:after="0" w:line="240" w:lineRule="auto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B11348">
        <w:rPr>
          <w:rFonts w:ascii="Trebuchet MS" w:eastAsia="Times New Roman" w:hAnsi="Trebuchet MS" w:cs="Times New Roman"/>
          <w:b/>
          <w:bCs/>
          <w:color w:val="333333"/>
          <w:sz w:val="21"/>
          <w:lang w:eastAsia="ru-RU"/>
        </w:rPr>
        <w:t> </w:t>
      </w:r>
    </w:p>
    <w:p w:rsidR="00262D27" w:rsidRPr="003B51FB" w:rsidRDefault="00262D27" w:rsidP="003B51F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1FB" w:rsidRPr="003B51FB" w:rsidRDefault="005C38A9" w:rsidP="003B51FB">
      <w:pPr>
        <w:spacing w:after="0" w:line="240" w:lineRule="auto"/>
        <w:rPr>
          <w:rFonts w:ascii="Times New Roman" w:eastAsia="Times New Roman" w:hAnsi="Times New Roman" w:cs="Times New Roman"/>
          <w:color w:val="E9ECF1"/>
          <w:sz w:val="24"/>
          <w:szCs w:val="24"/>
          <w:lang w:eastAsia="ru-RU"/>
        </w:rPr>
      </w:pPr>
      <w:hyperlink r:id="rId7" w:tgtFrame="_self" w:history="1">
        <w:r w:rsidR="003B51FB" w:rsidRPr="003B51FB">
          <w:rPr>
            <w:rFonts w:ascii="Times New Roman" w:eastAsia="Times New Roman" w:hAnsi="Times New Roman" w:cs="Times New Roman"/>
            <w:b/>
            <w:bCs/>
            <w:caps/>
            <w:color w:val="FFFFFF"/>
            <w:sz w:val="17"/>
            <w:lang w:eastAsia="ru-RU"/>
          </w:rPr>
          <w:t>СВЕДЕНИЯ ОБ ОБРАЗОВАТЕЛЬНОЙ ОРГАНИЗАЦИИ</w:t>
        </w:r>
      </w:hyperlink>
    </w:p>
    <w:p w:rsidR="003B51FB" w:rsidRPr="003B51FB" w:rsidRDefault="005C38A9" w:rsidP="003B51FB">
      <w:pPr>
        <w:numPr>
          <w:ilvl w:val="0"/>
          <w:numId w:val="4"/>
        </w:numPr>
        <w:spacing w:before="100" w:beforeAutospacing="1" w:after="75" w:line="240" w:lineRule="auto"/>
        <w:ind w:left="-225"/>
        <w:rPr>
          <w:rFonts w:ascii="Times New Roman" w:eastAsia="Times New Roman" w:hAnsi="Times New Roman" w:cs="Times New Roman"/>
          <w:color w:val="E9ECF1"/>
          <w:sz w:val="24"/>
          <w:szCs w:val="24"/>
          <w:lang w:eastAsia="ru-RU"/>
        </w:rPr>
      </w:pPr>
      <w:hyperlink r:id="rId8" w:tgtFrame="_self" w:history="1">
        <w:r w:rsidR="003B51FB" w:rsidRPr="003B51FB">
          <w:rPr>
            <w:rFonts w:ascii="Times New Roman" w:eastAsia="Times New Roman" w:hAnsi="Times New Roman" w:cs="Times New Roman"/>
            <w:color w:val="FFFFFF"/>
            <w:sz w:val="20"/>
            <w:lang w:eastAsia="ru-RU"/>
          </w:rPr>
          <w:t>Основные сведения</w:t>
        </w:r>
      </w:hyperlink>
    </w:p>
    <w:p w:rsidR="003B51FB" w:rsidRPr="003B51FB" w:rsidRDefault="005C38A9" w:rsidP="003B51FB">
      <w:pPr>
        <w:numPr>
          <w:ilvl w:val="0"/>
          <w:numId w:val="4"/>
        </w:numPr>
        <w:spacing w:before="100" w:beforeAutospacing="1" w:after="75" w:line="240" w:lineRule="auto"/>
        <w:ind w:left="-225"/>
        <w:rPr>
          <w:rFonts w:ascii="Times New Roman" w:eastAsia="Times New Roman" w:hAnsi="Times New Roman" w:cs="Times New Roman"/>
          <w:color w:val="E9ECF1"/>
          <w:sz w:val="24"/>
          <w:szCs w:val="24"/>
          <w:lang w:eastAsia="ru-RU"/>
        </w:rPr>
      </w:pPr>
      <w:hyperlink r:id="rId9" w:tgtFrame="_self" w:history="1">
        <w:r w:rsidR="003B51FB" w:rsidRPr="003B51FB">
          <w:rPr>
            <w:rFonts w:ascii="Times New Roman" w:eastAsia="Times New Roman" w:hAnsi="Times New Roman" w:cs="Times New Roman"/>
            <w:color w:val="FFFFFF"/>
            <w:sz w:val="20"/>
            <w:lang w:eastAsia="ru-RU"/>
          </w:rPr>
          <w:t>Структура и органы управления образовательной организацией</w:t>
        </w:r>
      </w:hyperlink>
    </w:p>
    <w:p w:rsidR="003B51FB" w:rsidRPr="003B51FB" w:rsidRDefault="005C38A9" w:rsidP="003B51FB">
      <w:pPr>
        <w:numPr>
          <w:ilvl w:val="0"/>
          <w:numId w:val="4"/>
        </w:numPr>
        <w:spacing w:before="100" w:beforeAutospacing="1" w:after="75" w:line="240" w:lineRule="auto"/>
        <w:ind w:left="-225"/>
        <w:rPr>
          <w:rFonts w:ascii="Times New Roman" w:eastAsia="Times New Roman" w:hAnsi="Times New Roman" w:cs="Times New Roman"/>
          <w:color w:val="E9ECF1"/>
          <w:sz w:val="24"/>
          <w:szCs w:val="24"/>
          <w:lang w:eastAsia="ru-RU"/>
        </w:rPr>
      </w:pPr>
      <w:hyperlink r:id="rId10" w:tgtFrame="_self" w:history="1">
        <w:r w:rsidR="003B51FB" w:rsidRPr="003B51FB">
          <w:rPr>
            <w:rFonts w:ascii="Times New Roman" w:eastAsia="Times New Roman" w:hAnsi="Times New Roman" w:cs="Times New Roman"/>
            <w:color w:val="FFFFFF"/>
            <w:sz w:val="20"/>
            <w:lang w:eastAsia="ru-RU"/>
          </w:rPr>
          <w:t>Документы</w:t>
        </w:r>
      </w:hyperlink>
    </w:p>
    <w:p w:rsidR="003B51FB" w:rsidRPr="003B51FB" w:rsidRDefault="005C38A9" w:rsidP="003B51FB">
      <w:pPr>
        <w:numPr>
          <w:ilvl w:val="0"/>
          <w:numId w:val="4"/>
        </w:numPr>
        <w:spacing w:before="100" w:beforeAutospacing="1" w:after="75" w:line="240" w:lineRule="auto"/>
        <w:ind w:left="-225"/>
        <w:rPr>
          <w:rFonts w:ascii="Times New Roman" w:eastAsia="Times New Roman" w:hAnsi="Times New Roman" w:cs="Times New Roman"/>
          <w:color w:val="E9ECF1"/>
          <w:sz w:val="24"/>
          <w:szCs w:val="24"/>
          <w:lang w:eastAsia="ru-RU"/>
        </w:rPr>
      </w:pPr>
      <w:hyperlink r:id="rId11" w:tgtFrame="_self" w:history="1">
        <w:r w:rsidR="003B51FB" w:rsidRPr="003B51FB">
          <w:rPr>
            <w:rFonts w:ascii="Times New Roman" w:eastAsia="Times New Roman" w:hAnsi="Times New Roman" w:cs="Times New Roman"/>
            <w:color w:val="FFFFFF"/>
            <w:sz w:val="20"/>
            <w:lang w:eastAsia="ru-RU"/>
          </w:rPr>
          <w:t>Образование</w:t>
        </w:r>
      </w:hyperlink>
    </w:p>
    <w:p w:rsidR="003B51FB" w:rsidRPr="003B51FB" w:rsidRDefault="005C38A9" w:rsidP="003B51FB">
      <w:pPr>
        <w:numPr>
          <w:ilvl w:val="0"/>
          <w:numId w:val="4"/>
        </w:numPr>
        <w:spacing w:before="100" w:beforeAutospacing="1" w:after="75" w:line="240" w:lineRule="auto"/>
        <w:ind w:left="-225"/>
        <w:rPr>
          <w:rFonts w:ascii="Times New Roman" w:eastAsia="Times New Roman" w:hAnsi="Times New Roman" w:cs="Times New Roman"/>
          <w:color w:val="E9ECF1"/>
          <w:sz w:val="24"/>
          <w:szCs w:val="24"/>
          <w:lang w:eastAsia="ru-RU"/>
        </w:rPr>
      </w:pPr>
      <w:hyperlink r:id="rId12" w:tgtFrame="_self" w:history="1">
        <w:r w:rsidR="003B51FB" w:rsidRPr="003B51FB">
          <w:rPr>
            <w:rFonts w:ascii="Times New Roman" w:eastAsia="Times New Roman" w:hAnsi="Times New Roman" w:cs="Times New Roman"/>
            <w:color w:val="FFFFFF"/>
            <w:sz w:val="20"/>
            <w:lang w:eastAsia="ru-RU"/>
          </w:rPr>
          <w:t>Образовательные стандарты</w:t>
        </w:r>
      </w:hyperlink>
    </w:p>
    <w:p w:rsidR="003B51FB" w:rsidRPr="003B51FB" w:rsidRDefault="005C38A9" w:rsidP="003B51FB">
      <w:pPr>
        <w:numPr>
          <w:ilvl w:val="0"/>
          <w:numId w:val="4"/>
        </w:numPr>
        <w:spacing w:before="100" w:beforeAutospacing="1" w:after="75" w:line="240" w:lineRule="auto"/>
        <w:ind w:left="-225"/>
        <w:rPr>
          <w:rFonts w:ascii="Times New Roman" w:eastAsia="Times New Roman" w:hAnsi="Times New Roman" w:cs="Times New Roman"/>
          <w:color w:val="E9ECF1"/>
          <w:sz w:val="24"/>
          <w:szCs w:val="24"/>
          <w:lang w:eastAsia="ru-RU"/>
        </w:rPr>
      </w:pPr>
      <w:hyperlink r:id="rId13" w:tgtFrame="_self" w:history="1">
        <w:r w:rsidR="003B51FB" w:rsidRPr="003B51FB">
          <w:rPr>
            <w:rFonts w:ascii="Times New Roman" w:eastAsia="Times New Roman" w:hAnsi="Times New Roman" w:cs="Times New Roman"/>
            <w:color w:val="FFFFFF"/>
            <w:sz w:val="20"/>
            <w:lang w:eastAsia="ru-RU"/>
          </w:rPr>
          <w:t>Руководство. Педагогический (научно-педагогический) состав</w:t>
        </w:r>
      </w:hyperlink>
    </w:p>
    <w:p w:rsidR="003B51FB" w:rsidRPr="003B51FB" w:rsidRDefault="005C38A9" w:rsidP="003B51FB">
      <w:pPr>
        <w:numPr>
          <w:ilvl w:val="0"/>
          <w:numId w:val="4"/>
        </w:numPr>
        <w:spacing w:before="100" w:beforeAutospacing="1" w:after="75" w:line="240" w:lineRule="auto"/>
        <w:ind w:left="-225"/>
        <w:rPr>
          <w:rFonts w:ascii="Times New Roman" w:eastAsia="Times New Roman" w:hAnsi="Times New Roman" w:cs="Times New Roman"/>
          <w:color w:val="E9ECF1"/>
          <w:sz w:val="24"/>
          <w:szCs w:val="24"/>
          <w:lang w:eastAsia="ru-RU"/>
        </w:rPr>
      </w:pPr>
      <w:hyperlink r:id="rId14" w:tgtFrame="_self" w:history="1">
        <w:r w:rsidR="003B51FB" w:rsidRPr="003B51FB">
          <w:rPr>
            <w:rFonts w:ascii="Times New Roman" w:eastAsia="Times New Roman" w:hAnsi="Times New Roman" w:cs="Times New Roman"/>
            <w:color w:val="FFFFFF"/>
            <w:sz w:val="20"/>
            <w:lang w:eastAsia="ru-RU"/>
          </w:rPr>
          <w:t>Материально-техническое обеспечение и </w:t>
        </w:r>
      </w:hyperlink>
    </w:p>
    <w:p w:rsidR="00996414" w:rsidRDefault="00996414"/>
    <w:sectPr w:rsidR="00996414" w:rsidSect="003B51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82E"/>
    <w:multiLevelType w:val="multilevel"/>
    <w:tmpl w:val="B636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9F6991"/>
    <w:multiLevelType w:val="multilevel"/>
    <w:tmpl w:val="371C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77C50"/>
    <w:multiLevelType w:val="multilevel"/>
    <w:tmpl w:val="A57C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54790"/>
    <w:multiLevelType w:val="multilevel"/>
    <w:tmpl w:val="B80A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51FB"/>
    <w:rsid w:val="00262D27"/>
    <w:rsid w:val="003B51FB"/>
    <w:rsid w:val="005C38A9"/>
    <w:rsid w:val="009214C7"/>
    <w:rsid w:val="0099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14"/>
  </w:style>
  <w:style w:type="paragraph" w:styleId="1">
    <w:name w:val="heading 1"/>
    <w:basedOn w:val="a"/>
    <w:link w:val="10"/>
    <w:uiPriority w:val="9"/>
    <w:qFormat/>
    <w:rsid w:val="003B5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">
    <w:name w:val="breadcrumb"/>
    <w:basedOn w:val="a"/>
    <w:rsid w:val="003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B51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51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7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899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2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gls.admsurgut.ru/svedeniya-ob-obrazovatelnoj-organizacii/osnovnye-svedeniya" TargetMode="External"/><Relationship Id="rId13" Type="http://schemas.openxmlformats.org/officeDocument/2006/relationships/hyperlink" Target="http://sgls.admsurgut.ru/svedeniya-ob-obrazovatelnoj-organizacii/rukovodstvo-pedagogicheskij-nauchno-pedagogicheskij-sosta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gls.admsurgut.ru/o-gimnazii/svedeniya-ob-obrazovatelnoj-organizacii" TargetMode="External"/><Relationship Id="rId12" Type="http://schemas.openxmlformats.org/officeDocument/2006/relationships/hyperlink" Target="http://sgls.admsurgut.ru/svedeniya-ob-obrazovatelnoj-organizacii/obrazovatelnye-standart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ge.edu.ru/ru/classes-11/sochinenie/" TargetMode="External"/><Relationship Id="rId11" Type="http://schemas.openxmlformats.org/officeDocument/2006/relationships/hyperlink" Target="http://sgls.admsurgut.ru/svedeniya-ob-obrazovatelnoj-organizacii/obrazovanie" TargetMode="External"/><Relationship Id="rId5" Type="http://schemas.openxmlformats.org/officeDocument/2006/relationships/hyperlink" Target="https://sochinenie11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gls.admsurgut.ru/svedeniya-ob-obrazovatelnoj-organizacii/dokumen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gls.admsurgut.ru/svedeniya-ob-obrazovatelnoj-organizacii/struktura-i-organy-upravleniya-obrazovatelnoj-organizaciej" TargetMode="External"/><Relationship Id="rId14" Type="http://schemas.openxmlformats.org/officeDocument/2006/relationships/hyperlink" Target="http://sgls.admsurgut.ru/svedeniya-ob-obrazovatelnoj-organizacii/materialno-tehnicheskoe-obespechenie-i-osnashyonnost-obrazovatelnogo-proces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2018-07-31T14:51:00Z</dcterms:created>
  <dcterms:modified xsi:type="dcterms:W3CDTF">2018-07-31T19:42:00Z</dcterms:modified>
</cp:coreProperties>
</file>