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CE" w:rsidRPr="00D878CE" w:rsidRDefault="00D878CE" w:rsidP="00D878CE">
      <w:pPr>
        <w:spacing w:after="675" w:line="240" w:lineRule="auto"/>
        <w:outlineLvl w:val="0"/>
        <w:rPr>
          <w:rFonts w:ascii="Lato-Bold" w:eastAsia="Times New Roman" w:hAnsi="Lato-Bold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D878CE">
        <w:rPr>
          <w:rFonts w:ascii="Lato-Bold" w:eastAsia="Times New Roman" w:hAnsi="Lato-Bold" w:cs="Times New Roman"/>
          <w:b/>
          <w:bCs/>
          <w:color w:val="000000"/>
          <w:kern w:val="36"/>
          <w:sz w:val="36"/>
          <w:szCs w:val="36"/>
          <w:lang w:eastAsia="ru-RU"/>
        </w:rPr>
        <w:t>Сроки, места, документы для подачи заявлений на ГИА и ЕГЭ в 2018 году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С 1 декабря 2017 года до 1  февраля 2018 года осуществляется прием заявлений на участие в государственной итоговой аттестации по образовательным программам среднего общего образования (далее – ГИА) и на сдачу единого государственного экзамена (далее – ЕГЭ).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Для регистрации на участие</w:t>
      </w:r>
      <w:r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 xml:space="preserve"> в ГИА и ЕГЭ в Чеченской республике </w:t>
      </w: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в 2018 году утверждены следующие места: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для выпускников общеобразовательных организаций текущего года – общеобразовательные организации, в которых они осваивают образовательные программы среднего общего образования;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 xml:space="preserve">для выпускников прошлых лет </w:t>
      </w:r>
      <w:r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– органы местного самоуправления</w:t>
      </w: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, осуществляющие управление в сфере образования, по месту жительства.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Для участия в ГИА и ЕГЭ участнику необходимо подать заявление и согласие на обработку персональных данных, предъявив оригиналы и копии следующих документов: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СНИЛС;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документ об образовании (для выпускников прошлых лет);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справка, подтверждающая освоение либо завершение освоения программ среднего общего образования (для обучающихся профессиональных образовательных организаций);</w:t>
      </w:r>
    </w:p>
    <w:p w:rsidR="00D878CE" w:rsidRPr="00D878CE" w:rsidRDefault="00D878CE" w:rsidP="00D878CE">
      <w:pPr>
        <w:spacing w:after="210" w:line="240" w:lineRule="auto"/>
        <w:jc w:val="both"/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</w:pPr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 xml:space="preserve">рекомендации </w:t>
      </w:r>
      <w:proofErr w:type="spellStart"/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D878CE">
        <w:rPr>
          <w:rFonts w:ascii="Lato-Regular" w:eastAsia="Times New Roman" w:hAnsi="Lato-Regular" w:cs="Times New Roman"/>
          <w:color w:val="000000"/>
          <w:sz w:val="24"/>
          <w:szCs w:val="24"/>
          <w:lang w:eastAsia="ru-RU"/>
        </w:rPr>
        <w:t xml:space="preserve"> комиссии и/или заверенная в установленном порядке копия справки, подтверждающей факт инвалидности и выданной федеральным государственным учреждением медико-социальной экспертизы (при наличии).</w:t>
      </w:r>
    </w:p>
    <w:p w:rsidR="0080423A" w:rsidRDefault="0080423A"/>
    <w:sectPr w:rsidR="0080423A" w:rsidSect="0080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8CE"/>
    <w:rsid w:val="0080423A"/>
    <w:rsid w:val="00D8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3A"/>
  </w:style>
  <w:style w:type="paragraph" w:styleId="1">
    <w:name w:val="heading 1"/>
    <w:basedOn w:val="a"/>
    <w:link w:val="10"/>
    <w:uiPriority w:val="9"/>
    <w:qFormat/>
    <w:rsid w:val="00D87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207</Words>
  <Characters>1181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2018-07-31T15:24:00Z</dcterms:created>
  <dcterms:modified xsi:type="dcterms:W3CDTF">2018-07-31T18:00:00Z</dcterms:modified>
</cp:coreProperties>
</file>